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F056" w14:textId="1C22546F" w:rsidR="00237E49" w:rsidRDefault="00237E49" w:rsidP="00237E49">
      <w:pPr>
        <w:widowControl w:val="0"/>
        <w:jc w:val="right"/>
        <w:rPr>
          <w:rFonts w:ascii="Helvetica" w:hAnsi="Helvetica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E17DB7C" wp14:editId="444BCBC2">
            <wp:extent cx="919480" cy="109728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cture 2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097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0B2E6F" w14:textId="3E96A7DE" w:rsidR="003905B0" w:rsidRPr="00AC38CF" w:rsidRDefault="003905B0">
      <w:pPr>
        <w:widowControl w:val="0"/>
        <w:rPr>
          <w:rFonts w:ascii="Helvetica" w:hAnsi="Helvetica"/>
          <w:sz w:val="22"/>
          <w:szCs w:val="22"/>
        </w:rPr>
      </w:pPr>
      <w:r w:rsidRPr="00AC38CF">
        <w:rPr>
          <w:rFonts w:ascii="Helvetica" w:hAnsi="Helvetica"/>
          <w:b/>
          <w:sz w:val="22"/>
          <w:szCs w:val="22"/>
        </w:rPr>
        <w:t xml:space="preserve">TRUSTEE </w:t>
      </w:r>
      <w:r w:rsidR="00754AC0">
        <w:rPr>
          <w:rFonts w:ascii="Helvetica" w:hAnsi="Helvetica"/>
          <w:b/>
          <w:sz w:val="22"/>
          <w:szCs w:val="22"/>
        </w:rPr>
        <w:t>ELIGIBILITY</w:t>
      </w:r>
      <w:r w:rsidR="00AC38CF">
        <w:rPr>
          <w:rFonts w:ascii="Helvetica" w:hAnsi="Helvetica"/>
          <w:b/>
          <w:sz w:val="22"/>
          <w:szCs w:val="22"/>
        </w:rPr>
        <w:t xml:space="preserve"> </w:t>
      </w:r>
    </w:p>
    <w:p w14:paraId="78FA1A23" w14:textId="77777777" w:rsidR="00D62868" w:rsidRPr="00AC38CF" w:rsidRDefault="00D62868">
      <w:pPr>
        <w:widowControl w:val="0"/>
        <w:rPr>
          <w:rFonts w:ascii="Helvetica" w:hAnsi="Helvetica"/>
          <w:sz w:val="22"/>
          <w:szCs w:val="22"/>
        </w:rPr>
      </w:pPr>
    </w:p>
    <w:p w14:paraId="09013A7C" w14:textId="0CC64CE9" w:rsidR="003905B0" w:rsidRPr="00AC38CF" w:rsidRDefault="00754AC0">
      <w:pPr>
        <w:widowContro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Prospective trustee</w:t>
      </w:r>
      <w:r w:rsidR="00846E2D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must give their personal assurance that they are eligible to become trustees in accordance with current legislation, which includes the following:</w:t>
      </w:r>
    </w:p>
    <w:p w14:paraId="332B671A" w14:textId="77777777" w:rsidR="00754AC0" w:rsidRDefault="00754AC0">
      <w:pPr>
        <w:widowControl w:val="0"/>
        <w:jc w:val="both"/>
        <w:rPr>
          <w:rFonts w:ascii="Helvetica" w:hAnsi="Helvetica"/>
          <w:sz w:val="22"/>
          <w:szCs w:val="22"/>
        </w:rPr>
      </w:pPr>
    </w:p>
    <w:p w14:paraId="6FEDD944" w14:textId="231F0D24" w:rsidR="001569A5" w:rsidRDefault="00754AC0">
      <w:pPr>
        <w:widowControl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A) </w:t>
      </w:r>
      <w:r w:rsidR="003905B0" w:rsidRPr="00AC38CF">
        <w:rPr>
          <w:rFonts w:ascii="Helvetica" w:hAnsi="Helvetica"/>
          <w:sz w:val="22"/>
          <w:szCs w:val="22"/>
        </w:rPr>
        <w:t xml:space="preserve">Section </w:t>
      </w:r>
      <w:r w:rsidR="001569A5">
        <w:rPr>
          <w:rFonts w:ascii="Helvetica" w:hAnsi="Helvetica"/>
          <w:sz w:val="22"/>
          <w:szCs w:val="22"/>
        </w:rPr>
        <w:t>178</w:t>
      </w:r>
      <w:r w:rsidR="003905B0" w:rsidRPr="00AC38CF">
        <w:rPr>
          <w:rFonts w:ascii="Helvetica" w:hAnsi="Helvetica"/>
          <w:sz w:val="22"/>
          <w:szCs w:val="22"/>
        </w:rPr>
        <w:t xml:space="preserve"> of the Charities Act </w:t>
      </w:r>
      <w:r w:rsidR="001569A5">
        <w:rPr>
          <w:rFonts w:ascii="Helvetica" w:hAnsi="Helvetica"/>
          <w:sz w:val="22"/>
          <w:szCs w:val="22"/>
        </w:rPr>
        <w:t>2011</w:t>
      </w:r>
      <w:r w:rsidR="003905B0" w:rsidRPr="00AC38CF">
        <w:rPr>
          <w:rFonts w:ascii="Helvetica" w:hAnsi="Helvetica"/>
          <w:sz w:val="22"/>
          <w:szCs w:val="22"/>
        </w:rPr>
        <w:t xml:space="preserve"> </w:t>
      </w:r>
      <w:r w:rsidR="001569A5">
        <w:rPr>
          <w:rFonts w:ascii="Helvetica" w:hAnsi="Helvetica"/>
          <w:sz w:val="22"/>
          <w:szCs w:val="22"/>
        </w:rPr>
        <w:t>lists people who may not be trustees of a charity.</w:t>
      </w:r>
    </w:p>
    <w:p w14:paraId="74B93D71" w14:textId="78BB486D" w:rsidR="001569A5" w:rsidRDefault="00754AC0">
      <w:pPr>
        <w:widowControl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48B214AD" w14:textId="45608D56" w:rsidR="003905B0" w:rsidRPr="00AC38CF" w:rsidRDefault="00754AC0" w:rsidP="00754AC0">
      <w:pPr>
        <w:widowControl w:val="0"/>
        <w:ind w:left="4" w:firstLine="1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</w:t>
      </w:r>
      <w:r w:rsidR="001569A5">
        <w:rPr>
          <w:rFonts w:ascii="Helvetica" w:hAnsi="Helvetica"/>
          <w:sz w:val="22"/>
          <w:szCs w:val="22"/>
        </w:rPr>
        <w:t xml:space="preserve">People will be disqualified </w:t>
      </w:r>
      <w:r w:rsidR="003905B0" w:rsidRPr="00AC38CF">
        <w:rPr>
          <w:rFonts w:ascii="Helvetica" w:hAnsi="Helvetica"/>
          <w:sz w:val="22"/>
          <w:szCs w:val="22"/>
        </w:rPr>
        <w:t>who:</w:t>
      </w:r>
    </w:p>
    <w:p w14:paraId="72D01639" w14:textId="7FC5B948" w:rsidR="003905B0" w:rsidRPr="00754AC0" w:rsidRDefault="003905B0" w:rsidP="00754AC0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ind w:left="697" w:hanging="357"/>
        <w:jc w:val="both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sz w:val="22"/>
          <w:szCs w:val="22"/>
        </w:rPr>
        <w:t xml:space="preserve">have </w:t>
      </w:r>
      <w:r w:rsidR="001569A5" w:rsidRPr="00754AC0">
        <w:rPr>
          <w:rFonts w:ascii="Helvetica" w:hAnsi="Helvetica"/>
          <w:sz w:val="22"/>
          <w:szCs w:val="22"/>
        </w:rPr>
        <w:t xml:space="preserve">an unspent conviction </w:t>
      </w:r>
      <w:r w:rsidRPr="00754AC0">
        <w:rPr>
          <w:rFonts w:ascii="Helvetica" w:hAnsi="Helvetica"/>
          <w:sz w:val="22"/>
          <w:szCs w:val="22"/>
        </w:rPr>
        <w:t>f</w:t>
      </w:r>
      <w:r w:rsidR="001569A5" w:rsidRPr="00754AC0">
        <w:rPr>
          <w:rFonts w:ascii="Helvetica" w:hAnsi="Helvetica"/>
          <w:sz w:val="22"/>
          <w:szCs w:val="22"/>
        </w:rPr>
        <w:t>or</w:t>
      </w:r>
      <w:r w:rsidRPr="00754AC0">
        <w:rPr>
          <w:rFonts w:ascii="Helvetica" w:hAnsi="Helvetica"/>
          <w:sz w:val="22"/>
          <w:szCs w:val="22"/>
        </w:rPr>
        <w:t xml:space="preserve"> any offence involving dishonesty or deception; </w:t>
      </w:r>
    </w:p>
    <w:p w14:paraId="33F17FB2" w14:textId="3F23266D" w:rsidR="003905B0" w:rsidRPr="00754AC0" w:rsidRDefault="001569A5" w:rsidP="00754AC0">
      <w:pPr>
        <w:pStyle w:val="ListParagraph"/>
        <w:widowControl w:val="0"/>
        <w:numPr>
          <w:ilvl w:val="0"/>
          <w:numId w:val="9"/>
        </w:numPr>
        <w:spacing w:before="60"/>
        <w:ind w:left="697" w:hanging="357"/>
        <w:jc w:val="both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sz w:val="22"/>
          <w:szCs w:val="22"/>
        </w:rPr>
        <w:t>are undischarged</w:t>
      </w:r>
      <w:r w:rsidR="003905B0" w:rsidRPr="00754AC0">
        <w:rPr>
          <w:rFonts w:ascii="Helvetica" w:hAnsi="Helvetica"/>
          <w:sz w:val="22"/>
          <w:szCs w:val="22"/>
        </w:rPr>
        <w:t xml:space="preserve"> </w:t>
      </w:r>
      <w:r w:rsidRPr="00754AC0">
        <w:rPr>
          <w:rFonts w:ascii="Helvetica" w:hAnsi="Helvetica"/>
          <w:sz w:val="22"/>
          <w:szCs w:val="22"/>
        </w:rPr>
        <w:t>bankrupts</w:t>
      </w:r>
      <w:r w:rsidR="003905B0" w:rsidRPr="00754AC0">
        <w:rPr>
          <w:rFonts w:ascii="Helvetica" w:hAnsi="Helvetica"/>
          <w:sz w:val="22"/>
          <w:szCs w:val="22"/>
        </w:rPr>
        <w:t>;</w:t>
      </w:r>
    </w:p>
    <w:p w14:paraId="52BC9439" w14:textId="19EFD84F" w:rsidR="003905B0" w:rsidRPr="00754AC0" w:rsidRDefault="001569A5" w:rsidP="00754AC0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60"/>
        <w:ind w:left="697" w:hanging="357"/>
        <w:jc w:val="both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sz w:val="22"/>
          <w:szCs w:val="22"/>
        </w:rPr>
        <w:t>have made an</w:t>
      </w:r>
      <w:r w:rsidR="003905B0" w:rsidRPr="00754AC0">
        <w:rPr>
          <w:rFonts w:ascii="Helvetica" w:hAnsi="Helvetica"/>
          <w:sz w:val="22"/>
          <w:szCs w:val="22"/>
        </w:rPr>
        <w:t xml:space="preserve"> arrangement with</w:t>
      </w:r>
      <w:r w:rsidRPr="00754AC0">
        <w:rPr>
          <w:rFonts w:ascii="Helvetica" w:hAnsi="Helvetica"/>
          <w:sz w:val="22"/>
          <w:szCs w:val="22"/>
        </w:rPr>
        <w:t xml:space="preserve"> </w:t>
      </w:r>
      <w:r w:rsidR="003905B0" w:rsidRPr="00754AC0">
        <w:rPr>
          <w:rFonts w:ascii="Helvetica" w:hAnsi="Helvetica"/>
          <w:sz w:val="22"/>
          <w:szCs w:val="22"/>
        </w:rPr>
        <w:t>their creditors and have not been discharged in respect of it;</w:t>
      </w:r>
    </w:p>
    <w:p w14:paraId="278F3044" w14:textId="666DC816" w:rsidR="003905B0" w:rsidRPr="00754AC0" w:rsidRDefault="003905B0" w:rsidP="00754AC0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ind w:left="697" w:hanging="357"/>
        <w:jc w:val="both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sz w:val="22"/>
          <w:szCs w:val="22"/>
        </w:rPr>
        <w:t xml:space="preserve">have been removed from the office of </w:t>
      </w:r>
      <w:r w:rsidR="00F63F7A" w:rsidRPr="00754AC0">
        <w:rPr>
          <w:rFonts w:ascii="Helvetica" w:hAnsi="Helvetica"/>
          <w:sz w:val="22"/>
          <w:szCs w:val="22"/>
        </w:rPr>
        <w:t>trustee of charity</w:t>
      </w:r>
      <w:r w:rsidRPr="00754AC0">
        <w:rPr>
          <w:rFonts w:ascii="Helvetica" w:hAnsi="Helvetica"/>
          <w:sz w:val="22"/>
          <w:szCs w:val="22"/>
        </w:rPr>
        <w:t xml:space="preserve"> by an order made by the </w:t>
      </w:r>
      <w:r w:rsidR="00F63F7A" w:rsidRPr="00754AC0">
        <w:rPr>
          <w:rFonts w:ascii="Helvetica" w:hAnsi="Helvetica"/>
          <w:sz w:val="22"/>
          <w:szCs w:val="22"/>
        </w:rPr>
        <w:t xml:space="preserve">Charity Commission (formerly the Charity </w:t>
      </w:r>
      <w:r w:rsidRPr="00754AC0">
        <w:rPr>
          <w:rFonts w:ascii="Helvetica" w:hAnsi="Helvetica"/>
          <w:sz w:val="22"/>
          <w:szCs w:val="22"/>
        </w:rPr>
        <w:t>Commissioners</w:t>
      </w:r>
      <w:r w:rsidR="00F63F7A" w:rsidRPr="00754AC0">
        <w:rPr>
          <w:rFonts w:ascii="Helvetica" w:hAnsi="Helvetica"/>
          <w:sz w:val="22"/>
          <w:szCs w:val="22"/>
        </w:rPr>
        <w:t>)</w:t>
      </w:r>
      <w:r w:rsidRPr="00754AC0">
        <w:rPr>
          <w:rFonts w:ascii="Helvetica" w:hAnsi="Helvetica"/>
          <w:sz w:val="22"/>
          <w:szCs w:val="22"/>
        </w:rPr>
        <w:t xml:space="preserve"> or by the High Court, on the grounds of any misconduct or mismanagement in the administration of the </w:t>
      </w:r>
      <w:r w:rsidR="00F63F7A" w:rsidRPr="00754AC0">
        <w:rPr>
          <w:rFonts w:ascii="Helvetica" w:hAnsi="Helvetica"/>
          <w:sz w:val="22"/>
          <w:szCs w:val="22"/>
        </w:rPr>
        <w:t>charity</w:t>
      </w:r>
      <w:r w:rsidRPr="00754AC0">
        <w:rPr>
          <w:rFonts w:ascii="Helvetica" w:hAnsi="Helvetica"/>
          <w:sz w:val="22"/>
          <w:szCs w:val="22"/>
        </w:rPr>
        <w:t xml:space="preserve"> </w:t>
      </w:r>
      <w:r w:rsidR="00F63F7A" w:rsidRPr="00754AC0">
        <w:rPr>
          <w:rFonts w:ascii="Helvetica" w:hAnsi="Helvetica"/>
          <w:sz w:val="22"/>
          <w:szCs w:val="22"/>
        </w:rPr>
        <w:t>for which they were responsible</w:t>
      </w:r>
      <w:r w:rsidRPr="00754AC0">
        <w:rPr>
          <w:rFonts w:ascii="Helvetica" w:hAnsi="Helvetica"/>
          <w:sz w:val="22"/>
          <w:szCs w:val="22"/>
        </w:rPr>
        <w:t>;</w:t>
      </w:r>
    </w:p>
    <w:p w14:paraId="3B3B6736" w14:textId="77777777" w:rsidR="003905B0" w:rsidRPr="00754AC0" w:rsidRDefault="003905B0" w:rsidP="00754AC0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ind w:left="697" w:hanging="357"/>
        <w:jc w:val="both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sz w:val="22"/>
          <w:szCs w:val="22"/>
        </w:rPr>
        <w:t xml:space="preserve">have been removed, under Section 7 of the Law Reform (Miscellaneous Provisions) (Scotland) Act 1990 (powers of Court of Session to deal with management of charities), from being concerned in the management or control of any body; </w:t>
      </w:r>
    </w:p>
    <w:p w14:paraId="70F35988" w14:textId="77777777" w:rsidR="003905B0" w:rsidRPr="00754AC0" w:rsidRDefault="003905B0" w:rsidP="00754AC0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ind w:left="697" w:hanging="357"/>
        <w:jc w:val="both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sz w:val="22"/>
          <w:szCs w:val="22"/>
        </w:rPr>
        <w:t>are subject to a disqualification order under the Company Directors Disqualification Act 1986 or to an order made under section 429(2)(b) of the Insolvency Act 1986 (failure to pay under county court administration order).</w:t>
      </w:r>
    </w:p>
    <w:p w14:paraId="42BEAB38" w14:textId="77777777" w:rsidR="003905B0" w:rsidRPr="00AC38CF" w:rsidRDefault="003905B0">
      <w:pPr>
        <w:widowControl w:val="0"/>
        <w:ind w:left="720" w:hanging="720"/>
        <w:jc w:val="both"/>
        <w:rPr>
          <w:rFonts w:ascii="Helvetica" w:hAnsi="Helvetica"/>
          <w:sz w:val="22"/>
          <w:szCs w:val="22"/>
        </w:rPr>
      </w:pPr>
    </w:p>
    <w:p w14:paraId="27BB6414" w14:textId="77777777" w:rsidR="003905B0" w:rsidRDefault="003905B0">
      <w:pPr>
        <w:widowControl w:val="0"/>
        <w:jc w:val="both"/>
        <w:rPr>
          <w:rFonts w:ascii="Helvetica" w:hAnsi="Helvetica"/>
          <w:sz w:val="22"/>
          <w:szCs w:val="22"/>
        </w:rPr>
      </w:pPr>
    </w:p>
    <w:p w14:paraId="55632344" w14:textId="0CAADF3A" w:rsidR="00B37422" w:rsidRDefault="00754AC0">
      <w:pPr>
        <w:widowControl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B) </w:t>
      </w:r>
      <w:r w:rsidR="00B37422">
        <w:rPr>
          <w:rFonts w:ascii="Helvetica" w:hAnsi="Helvetica"/>
          <w:sz w:val="22"/>
          <w:szCs w:val="22"/>
        </w:rPr>
        <w:t>Under the Finance</w:t>
      </w:r>
      <w:r w:rsidR="00E26F69">
        <w:rPr>
          <w:rFonts w:ascii="Helvetica" w:hAnsi="Helvetica"/>
          <w:sz w:val="22"/>
          <w:szCs w:val="22"/>
        </w:rPr>
        <w:t xml:space="preserve"> </w:t>
      </w:r>
      <w:r w:rsidR="00B37422">
        <w:rPr>
          <w:rFonts w:ascii="Helvetica" w:hAnsi="Helvetica"/>
          <w:sz w:val="22"/>
          <w:szCs w:val="22"/>
        </w:rPr>
        <w:t>Act 2010 there is the ‘fit and proper person’ test whereby HMRC requires that ‘managers’ (= trustees in a charity for this purpose)</w:t>
      </w:r>
      <w:r w:rsidR="00E26F69">
        <w:rPr>
          <w:rFonts w:ascii="Helvetica" w:hAnsi="Helvetica"/>
          <w:sz w:val="22"/>
          <w:szCs w:val="22"/>
        </w:rPr>
        <w:t xml:space="preserve"> do not have a history of:</w:t>
      </w:r>
    </w:p>
    <w:p w14:paraId="25AA3C68" w14:textId="5980B754" w:rsidR="00AF1FC6" w:rsidRDefault="00B37422" w:rsidP="00754AC0">
      <w:pPr>
        <w:pStyle w:val="ListParagraph"/>
        <w:widowControl w:val="0"/>
        <w:numPr>
          <w:ilvl w:val="0"/>
          <w:numId w:val="6"/>
        </w:numPr>
        <w:spacing w:before="60"/>
        <w:ind w:left="782" w:hanging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tax fraud;</w:t>
      </w:r>
    </w:p>
    <w:p w14:paraId="60B1AEDA" w14:textId="7AA96E37" w:rsidR="00B37422" w:rsidRDefault="00E26F69" w:rsidP="00754AC0">
      <w:pPr>
        <w:pStyle w:val="ListParagraph"/>
        <w:widowControl w:val="0"/>
        <w:numPr>
          <w:ilvl w:val="0"/>
          <w:numId w:val="6"/>
        </w:numPr>
        <w:spacing w:before="60"/>
        <w:ind w:left="782" w:hanging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other fraudulent behaviour, including misrepresentation and/or identity theft; </w:t>
      </w:r>
    </w:p>
    <w:p w14:paraId="394A06B6" w14:textId="50F640C5" w:rsidR="00E26F69" w:rsidRDefault="00E26F69" w:rsidP="00754AC0">
      <w:pPr>
        <w:pStyle w:val="ListParagraph"/>
        <w:widowControl w:val="0"/>
        <w:numPr>
          <w:ilvl w:val="0"/>
          <w:numId w:val="6"/>
        </w:numPr>
        <w:spacing w:before="60"/>
        <w:ind w:left="782" w:hanging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involvement in attacks against or abuse of tax repayment systems;</w:t>
      </w:r>
    </w:p>
    <w:p w14:paraId="087B66B9" w14:textId="121FAB19" w:rsidR="00E26F69" w:rsidRPr="00B37422" w:rsidRDefault="00E26F69" w:rsidP="00754AC0">
      <w:pPr>
        <w:pStyle w:val="ListParagraph"/>
        <w:widowControl w:val="0"/>
        <w:numPr>
          <w:ilvl w:val="0"/>
          <w:numId w:val="6"/>
        </w:numPr>
        <w:spacing w:before="60"/>
        <w:ind w:left="782" w:hanging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being barred from acting as a charity trustee by a charity regulator or Court, or being disqualified from acting as a company director.</w:t>
      </w:r>
    </w:p>
    <w:p w14:paraId="0EDC1AA8" w14:textId="77777777" w:rsidR="00AF1FC6" w:rsidRDefault="00AF1FC6">
      <w:pPr>
        <w:widowControl w:val="0"/>
        <w:jc w:val="both"/>
        <w:rPr>
          <w:rFonts w:ascii="Helvetica" w:hAnsi="Helvetica"/>
          <w:sz w:val="22"/>
          <w:szCs w:val="22"/>
        </w:rPr>
      </w:pPr>
    </w:p>
    <w:p w14:paraId="7B1A6F50" w14:textId="77777777" w:rsidR="00754AC0" w:rsidRPr="00AC38CF" w:rsidRDefault="00754AC0">
      <w:pPr>
        <w:widowControl w:val="0"/>
        <w:jc w:val="both"/>
        <w:rPr>
          <w:rFonts w:ascii="Helvetica" w:hAnsi="Helvetica"/>
          <w:sz w:val="22"/>
          <w:szCs w:val="22"/>
        </w:rPr>
      </w:pPr>
    </w:p>
    <w:p w14:paraId="1A5A248E" w14:textId="5D395262" w:rsidR="003905B0" w:rsidRDefault="00754AC0" w:rsidP="00AC38CF">
      <w:pPr>
        <w:widowControl w:val="0"/>
        <w:rPr>
          <w:rFonts w:ascii="Helvetica" w:hAnsi="Helvetica"/>
          <w:sz w:val="22"/>
          <w:szCs w:val="22"/>
        </w:rPr>
      </w:pPr>
      <w:r w:rsidRPr="00754AC0">
        <w:rPr>
          <w:rFonts w:ascii="Helvetica" w:hAnsi="Helvetica"/>
          <w:b/>
          <w:sz w:val="22"/>
          <w:szCs w:val="22"/>
        </w:rPr>
        <w:t>Declaration of eligibility</w:t>
      </w:r>
      <w:r>
        <w:rPr>
          <w:rFonts w:ascii="Helvetica" w:hAnsi="Helvetica"/>
          <w:sz w:val="22"/>
          <w:szCs w:val="22"/>
        </w:rPr>
        <w:t>:</w:t>
      </w:r>
    </w:p>
    <w:p w14:paraId="4D980D0C" w14:textId="77777777" w:rsidR="00754AC0" w:rsidRPr="00AC38CF" w:rsidRDefault="00754AC0" w:rsidP="00AC38CF">
      <w:pPr>
        <w:widowControl w:val="0"/>
        <w:rPr>
          <w:rFonts w:ascii="Helvetica" w:hAnsi="Helvetica"/>
          <w:sz w:val="22"/>
          <w:szCs w:val="22"/>
        </w:rPr>
      </w:pPr>
    </w:p>
    <w:p w14:paraId="0F3928EA" w14:textId="402D379D" w:rsidR="003905B0" w:rsidRDefault="00754AC0">
      <w:pPr>
        <w:widowContro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hereby declare that I am not disqualified from becoming a trustee by the provisions of Section 178 of the Charities Act 2011 and that I am a ‘fit and proper person’ under the Finance Act 2010.</w:t>
      </w:r>
    </w:p>
    <w:p w14:paraId="21BB5D13" w14:textId="77777777" w:rsidR="00754AC0" w:rsidRDefault="00754AC0">
      <w:pPr>
        <w:widowControl w:val="0"/>
        <w:rPr>
          <w:rFonts w:ascii="Helvetica" w:hAnsi="Helvetica"/>
          <w:sz w:val="22"/>
          <w:szCs w:val="22"/>
        </w:rPr>
      </w:pPr>
    </w:p>
    <w:p w14:paraId="5101C116" w14:textId="77777777" w:rsidR="00754AC0" w:rsidRDefault="00754AC0">
      <w:pPr>
        <w:widowControl w:val="0"/>
        <w:rPr>
          <w:rFonts w:ascii="Helvetica" w:hAnsi="Helvetica"/>
          <w:sz w:val="22"/>
          <w:szCs w:val="22"/>
        </w:rPr>
      </w:pPr>
    </w:p>
    <w:p w14:paraId="2BEE6FFB" w14:textId="77777777" w:rsidR="00754AC0" w:rsidRDefault="00754AC0">
      <w:pPr>
        <w:widowControl w:val="0"/>
        <w:rPr>
          <w:rFonts w:ascii="Helvetica" w:hAnsi="Helvetica"/>
          <w:sz w:val="22"/>
          <w:szCs w:val="22"/>
        </w:rPr>
      </w:pPr>
    </w:p>
    <w:p w14:paraId="754AADFF" w14:textId="79A884F6" w:rsidR="00754AC0" w:rsidRDefault="00754AC0">
      <w:pPr>
        <w:widowContro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Signed: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…………………………………             Date:  …………………</w:t>
      </w:r>
      <w:proofErr w:type="gramStart"/>
      <w:r>
        <w:rPr>
          <w:rFonts w:ascii="Helvetica" w:hAnsi="Helvetica"/>
          <w:sz w:val="22"/>
          <w:szCs w:val="22"/>
        </w:rPr>
        <w:t>…..</w:t>
      </w:r>
      <w:proofErr w:type="gramEnd"/>
    </w:p>
    <w:p w14:paraId="4D020A38" w14:textId="77777777" w:rsidR="00754AC0" w:rsidRDefault="00754AC0">
      <w:pPr>
        <w:widowControl w:val="0"/>
        <w:rPr>
          <w:rFonts w:ascii="Helvetica" w:hAnsi="Helvetica"/>
          <w:sz w:val="22"/>
          <w:szCs w:val="22"/>
        </w:rPr>
      </w:pPr>
    </w:p>
    <w:p w14:paraId="07ECB1E3" w14:textId="1E710398" w:rsidR="00754AC0" w:rsidRPr="00AC38CF" w:rsidRDefault="00754AC0">
      <w:pPr>
        <w:widowContro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Name: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bookmarkStart w:id="0" w:name="_GoBack"/>
      <w:bookmarkEnd w:id="0"/>
    </w:p>
    <w:sectPr w:rsidR="00754AC0" w:rsidRPr="00AC38CF" w:rsidSect="00846E2D">
      <w:footerReference w:type="even" r:id="rId8"/>
      <w:footerReference w:type="default" r:id="rId9"/>
      <w:type w:val="continuous"/>
      <w:pgSz w:w="11907" w:h="16840" w:code="9"/>
      <w:pgMar w:top="1134" w:right="992" w:bottom="1227" w:left="992" w:header="720" w:footer="11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DAD34" w14:textId="77777777" w:rsidR="00536BC0" w:rsidRDefault="00536BC0">
      <w:r>
        <w:separator/>
      </w:r>
    </w:p>
  </w:endnote>
  <w:endnote w:type="continuationSeparator" w:id="0">
    <w:p w14:paraId="60E54825" w14:textId="77777777" w:rsidR="00536BC0" w:rsidRDefault="0053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9F73" w14:textId="77777777" w:rsidR="00E72D22" w:rsidRDefault="00E72D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2E547" w14:textId="77777777" w:rsidR="00E72D22" w:rsidRDefault="00E7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D8F4" w14:textId="022E7CA5" w:rsidR="00E72D22" w:rsidRDefault="00237E49" w:rsidP="00754AC0">
    <w:pPr>
      <w:pStyle w:val="Footer"/>
      <w:jc w:val="center"/>
      <w:rPr>
        <w:rFonts w:ascii="Arial" w:hAnsi="Arial" w:cs="Arial"/>
        <w:color w:val="4472C4" w:themeColor="accent1"/>
        <w:sz w:val="18"/>
        <w:szCs w:val="18"/>
      </w:rPr>
    </w:pPr>
    <w:r w:rsidRPr="00237E49">
      <w:rPr>
        <w:rFonts w:ascii="Arial" w:hAnsi="Arial" w:cs="Arial"/>
        <w:sz w:val="18"/>
        <w:szCs w:val="18"/>
      </w:rPr>
      <w:t xml:space="preserve">Trustee </w:t>
    </w:r>
    <w:r w:rsidR="00754AC0">
      <w:rPr>
        <w:rFonts w:ascii="Arial" w:hAnsi="Arial" w:cs="Arial"/>
        <w:sz w:val="18"/>
        <w:szCs w:val="18"/>
      </w:rPr>
      <w:t>Eligibility</w:t>
    </w:r>
    <w:r w:rsidRPr="00237E49">
      <w:rPr>
        <w:rFonts w:ascii="Arial" w:hAnsi="Arial" w:cs="Arial"/>
        <w:sz w:val="18"/>
        <w:szCs w:val="18"/>
      </w:rPr>
      <w:t xml:space="preserve"> </w:t>
    </w:r>
    <w:r w:rsidR="00754AC0">
      <w:rPr>
        <w:rFonts w:ascii="Arial" w:hAnsi="Arial" w:cs="Arial"/>
        <w:sz w:val="18"/>
        <w:szCs w:val="18"/>
      </w:rPr>
      <w:t xml:space="preserve">                                                       </w:t>
    </w:r>
    <w:r w:rsidRPr="00237E49">
      <w:rPr>
        <w:rFonts w:ascii="Arial" w:hAnsi="Arial" w:cs="Arial"/>
        <w:color w:val="4472C4" w:themeColor="accent1"/>
        <w:sz w:val="18"/>
        <w:szCs w:val="18"/>
      </w:rPr>
      <w:t xml:space="preserve">Page </w:t>
    </w:r>
    <w:r w:rsidRPr="00237E4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237E49">
      <w:rPr>
        <w:rFonts w:ascii="Arial" w:hAnsi="Arial" w:cs="Arial"/>
        <w:color w:val="4472C4" w:themeColor="accent1"/>
        <w:sz w:val="18"/>
        <w:szCs w:val="18"/>
      </w:rPr>
      <w:instrText xml:space="preserve"> PAGE  \* Arabic  \* MERGEFORMAT </w:instrText>
    </w:r>
    <w:r w:rsidRPr="00237E4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="00BB1DE4">
      <w:rPr>
        <w:rFonts w:ascii="Arial" w:hAnsi="Arial" w:cs="Arial"/>
        <w:noProof/>
        <w:color w:val="4472C4" w:themeColor="accent1"/>
        <w:sz w:val="18"/>
        <w:szCs w:val="18"/>
      </w:rPr>
      <w:t>1</w:t>
    </w:r>
    <w:r w:rsidRPr="00237E49">
      <w:rPr>
        <w:rFonts w:ascii="Arial" w:hAnsi="Arial" w:cs="Arial"/>
        <w:color w:val="4472C4" w:themeColor="accent1"/>
        <w:sz w:val="18"/>
        <w:szCs w:val="18"/>
      </w:rPr>
      <w:fldChar w:fldCharType="end"/>
    </w:r>
    <w:r w:rsidRPr="00237E49">
      <w:rPr>
        <w:rFonts w:ascii="Arial" w:hAnsi="Arial" w:cs="Arial"/>
        <w:color w:val="4472C4" w:themeColor="accent1"/>
        <w:sz w:val="18"/>
        <w:szCs w:val="18"/>
      </w:rPr>
      <w:t xml:space="preserve"> of </w:t>
    </w:r>
    <w:r w:rsidRPr="00237E4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237E49">
      <w:rPr>
        <w:rFonts w:ascii="Arial" w:hAnsi="Arial" w:cs="Arial"/>
        <w:color w:val="4472C4" w:themeColor="accent1"/>
        <w:sz w:val="18"/>
        <w:szCs w:val="18"/>
      </w:rPr>
      <w:instrText xml:space="preserve"> NUMPAGES  \* Arabic  \* MERGEFORMAT </w:instrText>
    </w:r>
    <w:r w:rsidRPr="00237E4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="00BB1DE4">
      <w:rPr>
        <w:rFonts w:ascii="Arial" w:hAnsi="Arial" w:cs="Arial"/>
        <w:noProof/>
        <w:color w:val="4472C4" w:themeColor="accent1"/>
        <w:sz w:val="18"/>
        <w:szCs w:val="18"/>
      </w:rPr>
      <w:t>1</w:t>
    </w:r>
    <w:r w:rsidRPr="00237E49">
      <w:rPr>
        <w:rFonts w:ascii="Arial" w:hAnsi="Arial" w:cs="Arial"/>
        <w:color w:val="4472C4" w:themeColor="accent1"/>
        <w:sz w:val="18"/>
        <w:szCs w:val="18"/>
      </w:rPr>
      <w:fldChar w:fldCharType="end"/>
    </w:r>
    <w:r>
      <w:rPr>
        <w:rFonts w:ascii="Arial" w:hAnsi="Arial" w:cs="Arial"/>
        <w:color w:val="4472C4" w:themeColor="accent1"/>
        <w:sz w:val="18"/>
        <w:szCs w:val="18"/>
      </w:rPr>
      <w:t xml:space="preserve"> </w:t>
    </w:r>
    <w:r w:rsidR="00754AC0">
      <w:rPr>
        <w:rFonts w:ascii="Arial" w:hAnsi="Arial" w:cs="Arial"/>
        <w:sz w:val="18"/>
        <w:szCs w:val="18"/>
      </w:rPr>
      <w:t xml:space="preserve">                                                                   </w:t>
    </w:r>
    <w:r w:rsidR="00BB1DE4">
      <w:rPr>
        <w:rFonts w:ascii="Arial" w:hAnsi="Arial" w:cs="Arial"/>
        <w:sz w:val="18"/>
        <w:szCs w:val="18"/>
      </w:rPr>
      <w:t>23.11</w:t>
    </w:r>
    <w:r w:rsidRPr="00237E49">
      <w:rPr>
        <w:rFonts w:ascii="Arial" w:hAnsi="Arial" w:cs="Arial"/>
        <w:sz w:val="18"/>
        <w:szCs w:val="18"/>
      </w:rPr>
      <w:t>.2017</w:t>
    </w:r>
  </w:p>
  <w:p w14:paraId="78BE569F" w14:textId="77777777" w:rsidR="00754AC0" w:rsidRPr="00754AC0" w:rsidRDefault="00754AC0" w:rsidP="00754AC0">
    <w:pPr>
      <w:pStyle w:val="Footer"/>
      <w:jc w:val="center"/>
      <w:rPr>
        <w:rFonts w:ascii="Arial" w:hAnsi="Arial" w:cs="Arial"/>
        <w:color w:val="4472C4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4885" w14:textId="77777777" w:rsidR="00536BC0" w:rsidRDefault="00536BC0">
      <w:r>
        <w:separator/>
      </w:r>
    </w:p>
  </w:footnote>
  <w:footnote w:type="continuationSeparator" w:id="0">
    <w:p w14:paraId="6B5048ED" w14:textId="77777777" w:rsidR="00536BC0" w:rsidRDefault="0053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665398"/>
    <w:multiLevelType w:val="multilevel"/>
    <w:tmpl w:val="0809001D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721" w:hanging="360"/>
      </w:pPr>
    </w:lvl>
    <w:lvl w:ilvl="2">
      <w:start w:val="1"/>
      <w:numFmt w:val="lowerRoman"/>
      <w:lvlText w:val="%3)"/>
      <w:lvlJc w:val="left"/>
      <w:pPr>
        <w:ind w:left="1081" w:hanging="360"/>
      </w:pPr>
    </w:lvl>
    <w:lvl w:ilvl="3">
      <w:start w:val="1"/>
      <w:numFmt w:val="decimal"/>
      <w:lvlText w:val="(%4)"/>
      <w:lvlJc w:val="left"/>
      <w:pPr>
        <w:ind w:left="1441" w:hanging="360"/>
      </w:pPr>
    </w:lvl>
    <w:lvl w:ilvl="4">
      <w:start w:val="1"/>
      <w:numFmt w:val="lowerLetter"/>
      <w:lvlText w:val="(%5)"/>
      <w:lvlJc w:val="left"/>
      <w:pPr>
        <w:ind w:left="1801" w:hanging="360"/>
      </w:pPr>
    </w:lvl>
    <w:lvl w:ilvl="5">
      <w:start w:val="1"/>
      <w:numFmt w:val="lowerRoman"/>
      <w:lvlText w:val="(%6)"/>
      <w:lvlJc w:val="left"/>
      <w:pPr>
        <w:ind w:left="2161" w:hanging="360"/>
      </w:pPr>
    </w:lvl>
    <w:lvl w:ilvl="6">
      <w:start w:val="1"/>
      <w:numFmt w:val="decimal"/>
      <w:lvlText w:val="%7."/>
      <w:lvlJc w:val="left"/>
      <w:pPr>
        <w:ind w:left="2521" w:hanging="360"/>
      </w:pPr>
    </w:lvl>
    <w:lvl w:ilvl="7">
      <w:start w:val="1"/>
      <w:numFmt w:val="lowerLetter"/>
      <w:lvlText w:val="%8."/>
      <w:lvlJc w:val="left"/>
      <w:pPr>
        <w:ind w:left="2881" w:hanging="360"/>
      </w:pPr>
    </w:lvl>
    <w:lvl w:ilvl="8">
      <w:start w:val="1"/>
      <w:numFmt w:val="lowerRoman"/>
      <w:lvlText w:val="%9."/>
      <w:lvlJc w:val="left"/>
      <w:pPr>
        <w:ind w:left="3241" w:hanging="360"/>
      </w:pPr>
    </w:lvl>
  </w:abstractNum>
  <w:abstractNum w:abstractNumId="2">
    <w:nsid w:val="1900414F"/>
    <w:multiLevelType w:val="hybridMultilevel"/>
    <w:tmpl w:val="49407370"/>
    <w:lvl w:ilvl="0" w:tplc="08090011">
      <w:start w:val="1"/>
      <w:numFmt w:val="decimal"/>
      <w:lvlText w:val="%1)"/>
      <w:lvlJc w:val="left"/>
      <w:pPr>
        <w:ind w:left="364" w:hanging="360"/>
      </w:p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200B04B9"/>
    <w:multiLevelType w:val="hybridMultilevel"/>
    <w:tmpl w:val="D4BE3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2323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5846F2"/>
    <w:multiLevelType w:val="hybridMultilevel"/>
    <w:tmpl w:val="F45051F6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4B820919"/>
    <w:multiLevelType w:val="multilevel"/>
    <w:tmpl w:val="D4BE3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E680A"/>
    <w:multiLevelType w:val="hybridMultilevel"/>
    <w:tmpl w:val="50125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0"/>
    <w:rsid w:val="00064B2C"/>
    <w:rsid w:val="0009131C"/>
    <w:rsid w:val="0009203F"/>
    <w:rsid w:val="001569A5"/>
    <w:rsid w:val="001A3246"/>
    <w:rsid w:val="001C1608"/>
    <w:rsid w:val="002127B2"/>
    <w:rsid w:val="00237E49"/>
    <w:rsid w:val="00257C63"/>
    <w:rsid w:val="00380173"/>
    <w:rsid w:val="003905B0"/>
    <w:rsid w:val="003A78B4"/>
    <w:rsid w:val="003B06FB"/>
    <w:rsid w:val="00536BC0"/>
    <w:rsid w:val="00683B7B"/>
    <w:rsid w:val="007544FE"/>
    <w:rsid w:val="00754AC0"/>
    <w:rsid w:val="007A1C07"/>
    <w:rsid w:val="007F02BF"/>
    <w:rsid w:val="00846E2D"/>
    <w:rsid w:val="00923955"/>
    <w:rsid w:val="00942EDB"/>
    <w:rsid w:val="00AC38CF"/>
    <w:rsid w:val="00AF1FC6"/>
    <w:rsid w:val="00B37422"/>
    <w:rsid w:val="00BB1DE4"/>
    <w:rsid w:val="00BD3DAF"/>
    <w:rsid w:val="00C6711B"/>
    <w:rsid w:val="00CF1606"/>
    <w:rsid w:val="00D05750"/>
    <w:rsid w:val="00D40355"/>
    <w:rsid w:val="00D62868"/>
    <w:rsid w:val="00DD5CCB"/>
    <w:rsid w:val="00E26F69"/>
    <w:rsid w:val="00E72D22"/>
    <w:rsid w:val="00ED4AB1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DDC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83B7B"/>
    <w:pPr>
      <w:ind w:left="720"/>
      <w:contextualSpacing/>
    </w:pPr>
  </w:style>
  <w:style w:type="paragraph" w:styleId="Header">
    <w:name w:val="header"/>
    <w:basedOn w:val="Normal"/>
    <w:link w:val="HeaderChar"/>
    <w:rsid w:val="00237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E4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7E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OF ROTA</vt:lpstr>
    </vt:vector>
  </TitlesOfParts>
  <Company>LVSC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OF ROTA</dc:title>
  <dc:subject/>
  <dc:creator>CSD</dc:creator>
  <cp:keywords/>
  <dc:description/>
  <cp:lastModifiedBy>Anthony O'Brien</cp:lastModifiedBy>
  <cp:revision>2</cp:revision>
  <cp:lastPrinted>2017-11-23T15:27:00Z</cp:lastPrinted>
  <dcterms:created xsi:type="dcterms:W3CDTF">2017-11-23T15:27:00Z</dcterms:created>
  <dcterms:modified xsi:type="dcterms:W3CDTF">2017-11-23T15:27:00Z</dcterms:modified>
</cp:coreProperties>
</file>